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24-01-2023</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17-1-2023</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Instemmen met besluitlijst.</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Omgevingsvergunning plaatsen airco-unit de Genestetlaan 25</w:t>
            </w:r>
          </w:p>
          <w:p>
            <w:r>
              <w:rPr>
                <w:rFonts w:ascii="Lucida Sans Unicode" w:hAnsi="Lucida Sans Unicode" w:cs="Lucida Sans Unicode"/>
              </w:rPr>
              <w:t>Op 21 juli 2022 is een aanvraag ingediend voor het plaatsen van een airco-unit aan de woning de Genestetlaan 25. Nu de beoordeling van de aanvraag is afgerond moet er een beslissing worden genomen op de aanvraag.</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Omgevingsvergunning verlenen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Integraal Veiligheidsbeleid</w:t>
            </w:r>
          </w:p>
          <w:p>
            <w:r>
              <w:rPr>
                <w:rFonts w:ascii="Lucida Sans Unicode" w:hAnsi="Lucida Sans Unicode" w:cs="Lucida Sans Unicode"/>
              </w:rPr>
              <w:t>Op grond van de Politiewet stelt de gemeenteraad een keer in de vier jaar de doelen vast die de gemeente nastreeft op het gebied van de veiligheid.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De raad voorstellen het integraal veiligheidsplan 2023 – 2026 vast te stellen.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met kleine tekstuele wijzigingen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Ondersteunende maatregelen energiearmoede</w:t>
            </w:r>
          </w:p>
          <w:p>
            <w:r>
              <w:rPr>
                <w:rFonts w:ascii="Lucida Sans Unicode" w:hAnsi="Lucida Sans Unicode" w:cs="Lucida Sans Unicode"/>
              </w:rPr>
              <w:t>De financiële bestaanszekerheid van een deel van onze inwoners staat onder druk door de hoge energieprijzen. Met dit voorstel willen we, evenals de gemeente Rheden, de inwoners ondersteunen die hierdoor in acute problemen zijn gekomen of dreigen te komen. Dit voorstel richt zich op maatregelen voor de korte termijn. Daarnaast is er ook sprake van lange-termijnmaatregelen, waarbij een relatie gelegd kan worden met de verduurzamingsopgave. Het gaat hier bijvoorbeeld om verduurzamingsmaatregelen aan woningen, waarvoor onze gemeente t/m 2023 een Specifieke Uitkering (SPUK) ontvangen en maatregelen voor ondersteuning van verenigingen en het MKB, waarvoor de provincie een Winterfonds in het leven heeft geroepen. Voor deze langetermijnmaatregelen wordt u een binnenkort een eerste voorstel voorgelegd. Los van de maatregelen, gericht op bestrijding van de gevolgen van de hoge energieprijzen, is er sprake van een kleine wijziging in de besteding van de Gelrepas. Vanwege de samenhang tussen bestrijding energiearmoede met armoedebeleid in het algemeen, is dit ook meegenomen in voorliggend voorstel.</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Met terugwerkende kracht vanaf 1 januari 2023 de leeftijdsgrens voor de reguliere Gelrepasvergoeding verhogen van 65 tot 67 jaar;</w:t>
            </w:r>
            <w:r>
              <w:rPr>
                <w:rFonts w:ascii="Lucida Sans Unicode" w:hAnsi="Lucida Sans Unicode" w:cs="Lucida Sans Unicode"/>
              </w:rPr>
              <w:br/>
            </w:r>
            <w:r>
              <w:rPr>
                <w:rFonts w:ascii="Lucida Sans Unicode" w:hAnsi="Lucida Sans Unicode" w:cs="Lucida Sans Unicode"/>
              </w:rPr>
              <w:t>2.    De raad voorstellen:</w:t>
            </w:r>
            <w:r>
              <w:rPr>
                <w:rFonts w:ascii="Lucida Sans Unicode" w:hAnsi="Lucida Sans Unicode" w:cs="Lucida Sans Unicode"/>
              </w:rPr>
              <w:br/>
            </w:r>
            <w:r>
              <w:rPr>
                <w:rFonts w:ascii="Lucida Sans Unicode" w:hAnsi="Lucida Sans Unicode" w:cs="Lucida Sans Unicode"/>
              </w:rPr>
              <w:t>       1. Voor 2023 in te stemmen met een energietoeslag van € 1.300 voor inwoners met   een inkomen tussen 120 -150% van de bijstandsnorm en een variabel energiecontract, inclusief een beperkte vermogenstoets;</w:t>
            </w:r>
            <w:r>
              <w:rPr>
                <w:rFonts w:ascii="Lucida Sans Unicode" w:hAnsi="Lucida Sans Unicode" w:cs="Lucida Sans Unicode"/>
              </w:rPr>
              <w:br/>
            </w:r>
            <w:r>
              <w:rPr>
                <w:rFonts w:ascii="Lucida Sans Unicode" w:hAnsi="Lucida Sans Unicode" w:cs="Lucida Sans Unicode"/>
              </w:rPr>
              <w:t>       2. Met terugwerkende kracht voor 2022 in te stemmen met een eenmalige energietoeslag van € 1.300 voor uitwonende studenten;</w:t>
            </w:r>
            <w:r>
              <w:rPr>
                <w:rFonts w:ascii="Lucida Sans Unicode" w:hAnsi="Lucida Sans Unicode" w:cs="Lucida Sans Unicode"/>
              </w:rPr>
              <w:br/>
            </w:r>
            <w:r>
              <w:rPr>
                <w:rFonts w:ascii="Lucida Sans Unicode" w:hAnsi="Lucida Sans Unicode" w:cs="Lucida Sans Unicode"/>
              </w:rPr>
              <w:t>       3. Bestaande lokale voorzieningen en regelingen beter te benutten en uit te breiden:</w:t>
            </w:r>
            <w:r>
              <w:rPr>
                <w:rFonts w:ascii="Lucida Sans Unicode" w:hAnsi="Lucida Sans Unicode" w:cs="Lucida Sans Unicode"/>
              </w:rPr>
              <w:br/>
            </w:r>
            <w:r>
              <w:rPr>
                <w:rFonts w:ascii="Lucida Sans Unicode" w:hAnsi="Lucida Sans Unicode" w:cs="Lucida Sans Unicode"/>
              </w:rPr>
              <w:t>           a. In 2023 voor inwoners met een inkomen tot 120% van de bijstandsnorm, op aanvraag, vanuit het budget Bijzondere bijstand de meerkosten boven het energieplafond te vergoeden, die overblijven na aftrek van de energietoeslag 2023;</w:t>
            </w:r>
            <w:r>
              <w:rPr>
                <w:rFonts w:ascii="Lucida Sans Unicode" w:hAnsi="Lucida Sans Unicode" w:cs="Lucida Sans Unicode"/>
              </w:rPr>
              <w:br/>
            </w:r>
            <w:r>
              <w:rPr>
                <w:rFonts w:ascii="Lucida Sans Unicode" w:hAnsi="Lucida Sans Unicode" w:cs="Lucida Sans Unicode"/>
              </w:rPr>
              <w:t>           b. In 2023 de vermogensnorm voor kwijtschelding van de gemeentelijke belastingen op te hogen;</w:t>
            </w:r>
            <w:r>
              <w:rPr>
                <w:rFonts w:ascii="Lucida Sans Unicode" w:hAnsi="Lucida Sans Unicode" w:cs="Lucida Sans Unicode"/>
              </w:rPr>
              <w:br/>
            </w:r>
            <w:r>
              <w:rPr>
                <w:rFonts w:ascii="Lucida Sans Unicode" w:hAnsi="Lucida Sans Unicode" w:cs="Lucida Sans Unicode"/>
              </w:rPr>
              <w:t>           c. In 2023 eenmalig het budget voor de GelrePas op te hogen met € 50,- voor elke pashouder;</w:t>
            </w:r>
            <w:r>
              <w:rPr>
                <w:rFonts w:ascii="Lucida Sans Unicode" w:hAnsi="Lucida Sans Unicode" w:cs="Lucida Sans Unicode"/>
              </w:rPr>
              <w:br/>
            </w:r>
            <w:r>
              <w:rPr>
                <w:rFonts w:ascii="Lucida Sans Unicode" w:hAnsi="Lucida Sans Unicode" w:cs="Lucida Sans Unicode"/>
              </w:rPr>
              <w:t>       4. Kennis te nemen van:</w:t>
            </w:r>
            <w:r>
              <w:rPr>
                <w:rFonts w:ascii="Lucida Sans Unicode" w:hAnsi="Lucida Sans Unicode" w:cs="Lucida Sans Unicode"/>
              </w:rPr>
              <w:br/>
            </w:r>
            <w:r>
              <w:rPr>
                <w:rFonts w:ascii="Lucida Sans Unicode" w:hAnsi="Lucida Sans Unicode" w:cs="Lucida Sans Unicode"/>
              </w:rPr>
              <w:t>           a. De bredere inzet van Stichting Urgente Noden (SUN) voor maatwerkondersteuning;</w:t>
            </w:r>
            <w:r>
              <w:rPr>
                <w:rFonts w:ascii="Lucida Sans Unicode" w:hAnsi="Lucida Sans Unicode" w:cs="Lucida Sans Unicode"/>
              </w:rPr>
              <w:br/>
            </w:r>
            <w:r>
              <w:rPr>
                <w:rFonts w:ascii="Lucida Sans Unicode" w:hAnsi="Lucida Sans Unicode" w:cs="Lucida Sans Unicode"/>
              </w:rPr>
              <w:t>           b. Ophoging van de leeftijdsgrens voor de reguliere tegemoeting Gelrepas van 65 naar 67 jaar;</w:t>
            </w:r>
            <w:r>
              <w:rPr>
                <w:rFonts w:ascii="Lucida Sans Unicode" w:hAnsi="Lucida Sans Unicode" w:cs="Lucida Sans Unicode"/>
              </w:rPr>
              <w:br/>
            </w:r>
            <w:r>
              <w:rPr>
                <w:rFonts w:ascii="Lucida Sans Unicode" w:hAnsi="Lucida Sans Unicode" w:cs="Lucida Sans Unicode"/>
              </w:rPr>
              <w:t>       5. De meeruitgaven voor zover deze niet ten laste kunnen worden gebracht van de reguliere budgetten, ten laste te brengen van de reserve Sociaal domein.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met kleine tekstuele wijzigingen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6</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r>
              <w:rPr>
                <w:rFonts w:ascii="Lucida Sans Unicode" w:hAnsi="Lucida Sans Unicode" w:cs="Lucida Sans Unicode"/>
              </w:rPr>
              <w:t>- Opdracht HBO-studenten"verbeteren draagvlak en communicatie rondom biodiversiteit in de gemeente Rozendaal (Jaap Wijlhuizen).</w:t>
            </w:r>
            <w:r>
              <w:rPr>
                <w:rFonts w:ascii="Lucida Sans Unicode" w:hAnsi="Lucida Sans Unicode" w:cs="Lucida Sans Unicode"/>
              </w:rPr>
              <w:br/>
            </w:r>
            <w:r>
              <w:rPr>
                <w:rFonts w:ascii="Lucida Sans Unicode" w:hAnsi="Lucida Sans Unicode" w:cs="Lucida Sans Unicode"/>
              </w:rPr>
              <w:t>- VNG Ledenbrief CPB onderzoek houdbaarheid Wmo en Jeugdwet (inclusief 2 bijlagen).</w:t>
            </w:r>
            <w:r>
              <w:rPr>
                <w:rFonts w:ascii="Lucida Sans Unicode" w:hAnsi="Lucida Sans Unicode" w:cs="Lucida Sans Unicode"/>
              </w:rPr>
              <w:br/>
            </w:r>
            <w:r>
              <w:rPr>
                <w:rFonts w:ascii="Lucida Sans Unicode" w:hAnsi="Lucida Sans Unicode" w:cs="Lucida Sans Unicode"/>
              </w:rPr>
              <w:t>- Uitnodiging lunch aan colleges voorafgaand aan regiocongres 10-2-2023.</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7</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DA3BE61B-66AA-4F9B-9EFB-DCB71BC854BE}"/>
</file>

<file path=customXml/itemProps3.xml><?xml version="1.0" encoding="utf-8"?>
<ds:datastoreItem xmlns:ds="http://schemas.openxmlformats.org/officeDocument/2006/customXml" ds:itemID="{26E2FD84-8E99-4422-9543-1B9362D25937}"/>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24 januari 2023</dc:title>
  <dc:creator>iBabs</dc:creator>
  <cp:revision>0</cp:revision>
  <dcterms:created xsi:type="dcterms:W3CDTF">2023-01-27T14:59:33Z</dcterms:created>
</cp:coreProperties>
</file>