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Besluitenlijst 1 B&amp;W vergadering</w:t>
      </w:r>
    </w:p>
    <w:tbl>
      <w:tblPr>
        <w:tblStyle w:val="TableGrid"/>
        <w:tblW w:w="9080" w:type="dxa"/>
        <w:tblBorders>
          <w:top w:val="nil"/>
          <w:left w:val="nil"/>
          <w:bottom w:val="nil"/>
          <w:right w:val="nil"/>
          <w:insideH w:val="nil"/>
          <w:insideV w:val="nil"/>
        </w:tblBorders>
        <w:tblLayout w:type="fixed"/>
        <w:tblLook w:val="04A0"/>
      </w:tblPr>
      <w:tblGrid>
        <w:gridCol w:w="1604"/>
        <w:gridCol w:w="7476"/>
      </w:tblGrid>
      <w:tr>
        <w:tblPrEx>
          <w:tblW w:w="9080" w:type="dxa"/>
          <w:tblBorders>
            <w:top w:val="nil"/>
            <w:left w:val="nil"/>
            <w:bottom w:val="nil"/>
            <w:right w:val="nil"/>
            <w:insideH w:val="nil"/>
            <w:insideV w:val="nil"/>
          </w:tblBorders>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Datum</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31-01-2023</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Tijd</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9:00 - 12:00</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Locatie</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Kamer burgemeester</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Voorzitter</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E. Weststeijn</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Aanwezigen</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Kees de Haas (secretaris), C.P.M.  Van der Pas (wethouder) , S.P. Warmerdam (wethouder)  en E.  Weststeijn (Burgemeester/voorzitter van de raad)</w:t>
            </w:r>
          </w:p>
        </w:tc>
      </w:tr>
    </w:tbl>
    <w:p>
      <w:pPr>
        <w:rPr>
          <w:rFonts w:ascii="Lucida Sans Unicode" w:eastAsia="Times New Roman" w:hAnsi="Lucida Sans Unicode" w:cs="Times New Roman"/>
          <w:sz w:val="16"/>
          <w:szCs w:val="16"/>
        </w:rPr>
      </w:pPr>
    </w:p>
    <w:tbl>
      <w:tblPr>
        <w:tblStyle w:val="TableGrid"/>
        <w:tblW w:w="9080" w:type="dxa"/>
        <w:tblBorders>
          <w:top w:val="nil"/>
          <w:left w:val="nil"/>
          <w:bottom w:val="nil"/>
          <w:right w:val="nil"/>
          <w:insideH w:val="nil"/>
          <w:insideV w:val="nil"/>
        </w:tblBorders>
        <w:tblLayout w:type="fixed"/>
        <w:tblLook w:val="04A0"/>
      </w:tblPr>
      <w:tblGrid>
        <w:gridCol w:w="1124"/>
        <w:gridCol w:w="7956"/>
      </w:tblGrid>
      <w:tr>
        <w:tblPrEx>
          <w:tblW w:w="9080" w:type="dxa"/>
          <w:tblBorders>
            <w:top w:val="nil"/>
            <w:left w:val="nil"/>
            <w:bottom w:val="nil"/>
            <w:right w:val="nil"/>
            <w:insideH w:val="nil"/>
            <w:insideV w:val="nil"/>
          </w:tblBorders>
          <w:tblLayout w:type="fixed"/>
          <w:tblLook w:val="04A0"/>
        </w:tblPrEx>
        <w:tc>
          <w:tcPr>
            <w:tcW w:w="1124" w:type="dxa"/>
            <w:shd w:val="clear" w:color="auto" w:fill="E7E6E6" w:themeFill="background2"/>
          </w:tcPr>
          <w:p>
            <w:pPr>
              <w:jc w:val="left"/>
              <w:rPr>
                <w:rFonts w:ascii="Lucida Sans Unicode" w:eastAsia="Times New Roman" w:hAnsi="Lucida Sans Unicode" w:cs="Times New Roman"/>
                <w:sz w:val="20"/>
                <w:szCs w:val="20"/>
              </w:rPr>
            </w:pPr>
          </w:p>
        </w:tc>
        <w:tc>
          <w:tcPr>
            <w:tcW w:w="7956" w:type="dxa"/>
            <w:shd w:val="clear" w:color="auto" w:fill="E7E6E6" w:themeFill="background2"/>
          </w:tcPr>
          <w:p>
            <w:pPr>
              <w:jc w:val="left"/>
              <w:rPr>
                <w:rFonts w:ascii="Lucida Sans Unicode" w:eastAsia="Times New Roman" w:hAnsi="Lucida Sans Unicode" w:cs="Times New Roman"/>
                <w:sz w:val="20"/>
                <w:szCs w:val="20"/>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Opening openbare B&amp;W vergadering</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2</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Besluitenlijst openbare B&amp;W d.d. 24-1-2023</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Instemmen.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3</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Winterfonds Rozendaal 2023</w:t>
            </w:r>
          </w:p>
          <w:p>
            <w:r>
              <w:rPr>
                <w:rFonts w:ascii="Lucida Sans Unicode" w:hAnsi="Lucida Sans Unicode" w:cs="Lucida Sans Unicode"/>
              </w:rPr>
              <w:t>De stijgende energiekosten zijn voor veel inwoners een uitdaging. Ook maatschappelijke organisaties en bedrijven komen door de stijgende prijzen in de problemen. Landelijk en regionaal zijn er door overheden verschillende regelingen ingesteld om deze organisaties financieel te ondersteunen. Het gaat dan om maatschappelijke organisaties zoals sportclubs, cultuurverenigingen, ontmoetingspunten en ondernemers. Een aantal regelingen zijn al uitgewerkt, anderen zijn wel aangekondigd maar nog niet volledig uitgewerkt:</w:t>
            </w:r>
            <w:r>
              <w:rPr>
                <w:rFonts w:ascii="Lucida Sans Unicode" w:hAnsi="Lucida Sans Unicode" w:cs="Lucida Sans Unicode"/>
              </w:rPr>
              <w:br/>
            </w:r>
            <w:r>
              <w:rPr>
                <w:rFonts w:ascii="Lucida Sans Unicode" w:hAnsi="Lucida Sans Unicode" w:cs="Lucida Sans Unicode"/>
              </w:rPr>
              <w:t>• De rijksregeling Tegemoetkoming Energiekosten – voor MKB &amp; sportorganisaties (aanvragen vanaf Q2 2023)</w:t>
            </w:r>
            <w:r>
              <w:rPr>
                <w:rFonts w:ascii="Lucida Sans Unicode" w:hAnsi="Lucida Sans Unicode" w:cs="Lucida Sans Unicode"/>
              </w:rPr>
              <w:br/>
            </w:r>
            <w:r>
              <w:rPr>
                <w:rFonts w:ascii="Lucida Sans Unicode" w:hAnsi="Lucida Sans Unicode" w:cs="Lucida Sans Unicode"/>
              </w:rPr>
              <w:t>• Het prijsplafond voor huishoudens, ZZP’ers en kleine verenigingen (vanaf 2023)</w:t>
            </w:r>
            <w:r>
              <w:rPr>
                <w:rFonts w:ascii="Lucida Sans Unicode" w:hAnsi="Lucida Sans Unicode" w:cs="Lucida Sans Unicode"/>
              </w:rPr>
              <w:br/>
            </w:r>
            <w:r>
              <w:rPr>
                <w:rFonts w:ascii="Lucida Sans Unicode" w:hAnsi="Lucida Sans Unicode" w:cs="Lucida Sans Unicode"/>
              </w:rPr>
              <w:t>• De prijsbijstelling voor publieke voorzieningen zoals bibliotheken en buurthuizen (vanaf 2023)</w:t>
            </w:r>
            <w:r>
              <w:rPr>
                <w:rFonts w:ascii="Lucida Sans Unicode" w:hAnsi="Lucida Sans Unicode" w:cs="Lucida Sans Unicode"/>
              </w:rPr>
              <w:br/>
            </w:r>
            <w:r>
              <w:rPr>
                <w:rFonts w:ascii="Lucida Sans Unicode" w:hAnsi="Lucida Sans Unicode" w:cs="Lucida Sans Unicode"/>
              </w:rPr>
              <w:t>• Het Winterfonds van de Provincie Gelderland – voor MKB &amp; Maatschappelijke organisaties (nu)</w:t>
            </w:r>
            <w:r>
              <w:rPr>
                <w:rFonts w:ascii="Lucida Sans Unicode" w:hAnsi="Lucida Sans Unicode" w:cs="Lucida Sans Unicode"/>
              </w:rPr>
              <w:br/>
            </w:r>
            <w:r>
              <w:rPr>
                <w:rFonts w:ascii="Lucida Sans Unicode" w:hAnsi="Lucida Sans Unicode" w:cs="Lucida Sans Unicode"/>
              </w:rPr>
              <w:t>Dit voorstel richt zich op gelden die nu beschikbaar zijn en voor deze winter (2022-2023) ingezet kunnen worden vanuit het zogenaamde Winterfonds van de Provincie Gelderland.</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In te stemmen met de subsidieregeling Winterfonds Rozendaal 2023.</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met enkele redactionele aanpassingen akkoord. RIB wordt nog opgesteld; PFH heeft mandaat om dit namens het college aan de raad te sturen.</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4</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Jaarverantwoording 2021 Scholengroep Veluwezoom</w:t>
            </w:r>
          </w:p>
          <w:p>
            <w:r>
              <w:rPr>
                <w:rFonts w:ascii="Lucida Sans Unicode" w:hAnsi="Lucida Sans Unicode" w:cs="Lucida Sans Unicode"/>
              </w:rPr>
              <w:t>Stichting Scholengroep Veluwezoom omvat tien openbare basisscholen en één school voor speciaal basisonderwijs in de gemeenten Rheden en Rozendaal. Jaarlijks wordt verantwoording afgelegd over de inhoudelijke en financiële ontwikkelingen.</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Kennisnemen van de Jaarstukken en het Jaarbeeld 2021 van stg. Scholengroep Veluwezoom</w:t>
            </w:r>
            <w:r>
              <w:rPr>
                <w:rFonts w:ascii="Lucida Sans Unicode" w:hAnsi="Lucida Sans Unicode" w:cs="Lucida Sans Unicode"/>
              </w:rPr>
              <w:br/>
            </w:r>
            <w:r>
              <w:rPr>
                <w:rFonts w:ascii="Lucida Sans Unicode" w:hAnsi="Lucida Sans Unicode" w:cs="Lucida Sans Unicode"/>
              </w:rPr>
              <w:t>2. De stukken met een Raadsinformatiebrief aanbieden aan de raad van 28 maart 2023</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5</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Benoeming leden RvT Scholengroep Veluwezoom</w:t>
            </w:r>
          </w:p>
          <w:p>
            <w:r>
              <w:rPr>
                <w:rFonts w:ascii="Lucida Sans Unicode" w:hAnsi="Lucida Sans Unicode" w:cs="Lucida Sans Unicode"/>
              </w:rPr>
              <w:t>De Raad van Toezicht van stichting Scholengroep Veluwezoom bestaat uit vijf personen. Wegens ontstane vacaturen was er ruimte voor twee nieuwe leden, een met een juridisch/governance en een sociaal-domeinprofiel.</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De heer Theo Boskma en mevrouw Nabela Zinad met terugwerkende kracht vanaf 1 januari 2023 benoemen als lid van de Raad van Toezicht van stichting Scholengroep Veluwezoom.</w:t>
            </w:r>
            <w:r>
              <w:rPr>
                <w:rFonts w:ascii="Lucida Sans Unicode" w:hAnsi="Lucida Sans Unicode" w:cs="Lucida Sans Unicode"/>
              </w:rPr>
              <w:br/>
            </w:r>
            <w:r>
              <w:rPr>
                <w:rFonts w:ascii="Lucida Sans Unicode" w:hAnsi="Lucida Sans Unicode" w:cs="Lucida Sans Unicode"/>
              </w:rPr>
              <w:t>2. De raad van 28 maart 2023 informeren met een Raadsinformatiebrief.</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6</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Nieuw Meubilair</w:t>
            </w:r>
          </w:p>
          <w:p>
            <w:r>
              <w:rPr>
                <w:rFonts w:ascii="Lucida Sans Unicode" w:hAnsi="Lucida Sans Unicode" w:cs="Lucida Sans Unicode"/>
              </w:rPr>
              <w:t>De huidige inrichting van het gemeentehuis is al lange tijd niet of nauwelijks gewijzigd. Daar waar nodig zijn kleine en noodzakelijke aanpassingen gedaan, maar het interieur voldoet inmiddels niet meer op het gebied van dienstverlening, veiligheid, Arbowetgeving, duurzaamheid en flexibilisering.</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De fysieke ontvangst van inwoners is gedateerd en afstandelijk vormgegeven, er is geen fysieke scheiding tussen ruimten voor bezoekers en personeel, de meeste werkplekken voldoen niet aan de Arbowetgeving, het gebouw voldoet niet aan de huidige eisen op het gebied van duurzaamheid, zoals isolatie, energiegebruik en binnenklimaat, en kent een inrichting die niet goed meer past bij de huidige flexibele en digitale wijze van (samen)werken. Bovendien is de inrichting (vloerbedekking, kleurgebruik, raambekleding) op veel plaatsen versleten, kapot of gedateerd. Het is, kortom, tijd om de inrichting van het gebouw weer bij de tijd te brengen om te voldoen aan de daarvoor geldende wetgeving, gewenste wijze van dienstverlening en een prettige werkomgeving.</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Plannen voor aanpassing van de inrichting van het gebouw worden gemaakt en zullen binnenkort aan u ter besluitvorming worden voorgelegd. We gaan daarbij uit van efficiënte en pragmatische insteek: alleen doen wat echt nodig is om te kunnen voldoen aan een goede wijze van dienstverlening aan onze inwoners, een veilige inrichting en goede werkomgeving voor onze medewerkers, eisen ten aanzien van duurzaamheid en een bij de tijd en bij Rozendaal passende inrichting.</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Een eerste belangrijke stap die zonder meer noodzakelijk is, is het vervangen van de huidige werkplekken. Meerdere medewerkers geven aan fysiek last te hebben van verouderde bureaustoelen en niet in hoogte instelbare bureaus. Daarnaast werken we aan een integraal voorstel voor structurele aanpassingen in het gebouw (zoals de dienstverlening op de begane grond), voor maatregelen ogv duurzaamheid (zoals dubbele beglazing, beperking van energiegebruik en klimaatbeheersing) en voor verbetering van de inrichting (nieuw meubilair, raam- en vloerbekleding). Vooruitlopend op dit voorstel, dat over enkele weken gereed zal zijn, willen we nu al tot aanschaf van nieuw meubilair overgaan, omdat we enerzijds merken dat medewerkers fysiek last ondervinden van het huidige meubilair en anderzijds op dit moment een mooi aanbod hebben gekregen voor 2e hands meubilair dat past zowel bij de huidige als de toekomstige inrichtingsplannen. We kiezen bewust voor 2e hands meubilair, omdat dit duurzaam is en de kosten beperkt. We kunnen een nieuwe set werkplekken (18 bureaus, 20 bureaustoelen en 2 tafels) aanschaffen voor een bedrag van ca. € 20.000. Via dit raadsvoorstel vraagt het college de raad om hiervoor een krediet ter beschikking te stellen. Het gaat om een krediet dat zal worden geactiveerd en waarbij de afschrijvingslasten (ca. € 2.000 per jaar) pas vanaf volgend jaar op de begroting zullen drukken. We zullen dit dan ook meenemen in de komende kadernota.</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De raad voorstellen om in te stemmen met het ter beschikking stellen van een krediet van €20.000 ten behoeve van de aanschaf van nieuwe (2e hands) meubilair ter vervanging van de huidige, verouderde en niet aan de huidige Arbo-eisen voldoende, werkplekken.</w:t>
            </w:r>
          </w:p>
          <w:p>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Dit mee te nemen in de kadernota/begroting 2024.</w:t>
            </w:r>
          </w:p>
          <w:p>
            <w:pPr>
              <w:rPr>
                <w:rFonts w:ascii="Lucida Sans Unicode" w:hAnsi="Lucida Sans Unicode" w:cs="Lucida Sans Unicode"/>
              </w:rPr>
            </w:pPr>
            <w:r>
              <w:rPr>
                <w:rFonts w:ascii="Lucida Sans Unicode" w:hAnsi="Lucida Sans Unicode" w:cs="Lucida Sans Unicode"/>
              </w:rPr>
              <w:t>Besluit: met enkele tekstuele wijzigingen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7</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Ingekomen stukken (openbaar)</w:t>
            </w:r>
          </w:p>
          <w:p>
            <w:r>
              <w:rPr>
                <w:rFonts w:ascii="Lucida Sans Unicode" w:hAnsi="Lucida Sans Unicode" w:cs="Lucida Sans Unicode"/>
              </w:rPr>
              <w:t>- Jaarverslag Vertrouwenspersoon Rozendaal 2022</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8</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Sluiting openbare B&amp;W vergadering</w:t>
            </w:r>
          </w:p>
          <w:p>
            <w:pPr>
              <w:rPr>
                <w:rFonts w:ascii="Lucida Sans Unicode" w:eastAsia="Times New Roman" w:hAnsi="Lucida Sans Unicode" w:cs="Times New Roman"/>
                <w:sz w:val="16"/>
                <w:szCs w:val="16"/>
              </w:rPr>
            </w:pPr>
          </w:p>
        </w:tc>
      </w:tr>
    </w:tbl>
    <w:p/>
    <w:sectPr w:rsidSect="00C349B2">
      <w:headerReference w:type="default" r:id="rId5"/>
      <w:footerReference w:type="default" r:id="rId6"/>
      <w:headerReference w:type="first" r:id="rId7"/>
      <w:pgSz w:w="11906" w:h="16838" w:orient="portrait"/>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497" w:rsidP="007B6497">
    <w:pPr>
      <w:pStyle w:val="Header"/>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rsidR="007B64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297B37"/>
    <w:rsid w:val="00330932"/>
    <w:rsid w:val="007B6497"/>
  </w:rsids>
  <m:mathPr>
    <m:mathFont m:val="Cambria Math"/>
    <m:wrapRight/>
  </m:mathPr>
  <w:themeFontLang w:val="nl-NL"/>
  <w:clrSchemeMapping w:bg1="light1" w:t1="dark1" w:bg2="light2" w:t2="dark2" w:accent1="accent1" w:accent2="accent2" w:accent3="accent3" w:accent4="accent4" w:accent5="accent5" w:accent6="accent6" w:hyperlink="hyperlink" w:followedHyperlink="followedHyperlink"/>
  <w:doNotAutoCompressPictures/>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next w:val="NoSpacing"/>
    <w:qFormat/>
    <w:pPr>
      <w:spacing w:after="40" w:line="259" w:lineRule="auto"/>
    </w:pPr>
    <w:rPr>
      <w:sz w:val="20"/>
      <w:szCs w:val="20"/>
    </w:rPr>
  </w:style>
  <w:style w:type="paragraph" w:styleId="Heading1">
    <w:name w:val="heading 1"/>
    <w:basedOn w:val="Normal"/>
    <w:next w:val="Normal"/>
    <w:link w:val="Heading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Heading2">
    <w:name w:val="heading 2"/>
    <w:basedOn w:val="Normal"/>
    <w:next w:val="Normal"/>
    <w:link w:val="Heading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Heading3">
    <w:name w:val="heading 3"/>
    <w:basedOn w:val="Normal"/>
    <w:next w:val="Normal"/>
    <w:link w:val="Heading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B"/>
    <w:rPr>
      <w:rFonts w:ascii="Lucida Sans Unicode" w:eastAsia="Times New Roman" w:hAnsi="Lucida Sans Unicode" w:cs="Times New Roman"/>
      <w:color w:val="2E74B5"/>
      <w:sz w:val="28"/>
      <w:szCs w:val="28"/>
    </w:rPr>
  </w:style>
  <w:style w:type="paragraph" w:styleId="Title">
    <w:name w:val="Title"/>
    <w:basedOn w:val="Normal"/>
    <w:next w:val="Normal"/>
    <w:link w:val="Title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leChar">
    <w:name w:val="Title Char"/>
    <w:basedOn w:val="DefaultParagraphFont"/>
    <w:link w:val="Title"/>
    <w:uiPriority w:val="10"/>
    <w:rsid w:val="00E3611B"/>
    <w:rPr>
      <w:rFonts w:ascii="Lucida Sans Unicode" w:eastAsia="Times New Roman" w:hAnsi="Lucida Sans Unicode" w:cs="Times New Roman"/>
      <w:spacing w:val="-10"/>
      <w:kern w:val="28"/>
      <w:sz w:val="56"/>
      <w:szCs w:val="56"/>
    </w:rPr>
  </w:style>
  <w:style w:type="table" w:styleId="TableGrid">
    <w:name w:val="Table Grid"/>
    <w:basedOn w:val="TableNorma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45D"/>
    <w:rPr>
      <w:sz w:val="20"/>
      <w:szCs w:val="20"/>
    </w:rPr>
  </w:style>
  <w:style w:type="paragraph" w:styleId="Header">
    <w:name w:val="header"/>
    <w:basedOn w:val="Normal"/>
    <w:link w:val="HeaderChar"/>
    <w:uiPriority w:val="99"/>
    <w:unhideWhenUsed/>
    <w:rsid w:val="002178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781A"/>
  </w:style>
  <w:style w:type="paragraph" w:styleId="Footer">
    <w:name w:val="footer"/>
    <w:basedOn w:val="Normal"/>
    <w:link w:val="FooterChar"/>
    <w:uiPriority w:val="99"/>
    <w:unhideWhenUsed/>
    <w:rsid w:val="002178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781A"/>
  </w:style>
  <w:style w:type="character" w:customStyle="1" w:styleId="Heading2Char">
    <w:name w:val="Heading 2 Char"/>
    <w:basedOn w:val="DefaultParagraphFont"/>
    <w:link w:val="Heading2"/>
    <w:uiPriority w:val="9"/>
    <w:rsid w:val="006F6838"/>
    <w:rPr>
      <w:rFonts w:ascii="Lucida Sans Unicode" w:eastAsia="Times New Roman" w:hAnsi="Lucida Sans Unicode" w:cs="Times New Roman"/>
      <w:color w:val="2E74B5"/>
      <w:sz w:val="24"/>
      <w:szCs w:val="24"/>
    </w:rPr>
  </w:style>
  <w:style w:type="character" w:customStyle="1" w:styleId="Heading3Char">
    <w:name w:val="Heading 3 Char"/>
    <w:basedOn w:val="DefaultParagraphFont"/>
    <w:link w:val="Heading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TableNormal"/>
    <w:next w:val="TableGrid"/>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thm15="http://schemas.microsoft.com/office/thememl/2012/main"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563083C6BA6347AEFD635492107820" ma:contentTypeVersion="10" ma:contentTypeDescription="Een nieuw document maken." ma:contentTypeScope="" ma:versionID="c1deed47313b1806caa339471c957f0a">
  <xsd:schema xmlns:xsd="http://www.w3.org/2001/XMLSchema" xmlns:xs="http://www.w3.org/2001/XMLSchema" xmlns:p="http://schemas.microsoft.com/office/2006/metadata/properties" xmlns:ns2="5a3319cb-5086-4563-9f00-53114851d542" xmlns:ns3="117a47ec-6c3c-4850-a3d5-3ad4ff02725b" targetNamespace="http://schemas.microsoft.com/office/2006/metadata/properties" ma:root="true" ma:fieldsID="ad74544955dffbadb9de594da4ba075e" ns2:_="" ns3:_="">
    <xsd:import namespace="5a3319cb-5086-4563-9f00-53114851d542"/>
    <xsd:import namespace="117a47ec-6c3c-4850-a3d5-3ad4ff0272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319cb-5086-4563-9f00-53114851d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bc9de3b-6367-4842-a4ed-cc1cea7f6fa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a47ec-6c3c-4850-a3d5-3ad4ff0272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eceb67-6e28-45b3-ba60-6f68f2a25f4f}" ma:internalName="TaxCatchAll" ma:showField="CatchAllData" ma:web="117a47ec-6c3c-4850-a3d5-3ad4ff027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customXml/itemProps2.xml><?xml version="1.0" encoding="utf-8"?>
<ds:datastoreItem xmlns:ds="http://schemas.openxmlformats.org/officeDocument/2006/customXml" ds:itemID="{328D7E50-7C70-49CA-96BD-424FF525D4CC}"/>
</file>

<file path=customXml/itemProps3.xml><?xml version="1.0" encoding="utf-8"?>
<ds:datastoreItem xmlns:ds="http://schemas.openxmlformats.org/officeDocument/2006/customXml" ds:itemID="{D0FB42D3-1DA1-4E92-8DBF-E9864EBE418D}"/>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Rozendaal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1 B&amp;W vergadering 31 januari 2023</dc:title>
  <dc:creator>iBabs</dc:creator>
  <cp:revision>0</cp:revision>
  <dcterms:created xsi:type="dcterms:W3CDTF">2023-02-01T12:23:32Z</dcterms:created>
</cp:coreProperties>
</file>